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EC" w:rsidRDefault="00D158EC" w:rsidP="00EA12E9">
      <w:pPr>
        <w:pStyle w:val="1"/>
      </w:pPr>
      <w:r>
        <w:t>Гликемический индекс и калорийность круп</w:t>
      </w:r>
      <w:bookmarkStart w:id="0" w:name="_GoBack"/>
      <w:bookmarkEnd w:id="0"/>
    </w:p>
    <w:p w:rsidR="00D158EC" w:rsidRDefault="00D158EC">
      <w:r>
        <w:rPr>
          <w:noProof/>
          <w:lang w:eastAsia="ru-RU"/>
        </w:rPr>
        <w:drawing>
          <wp:inline distT="0" distB="0" distL="0" distR="0">
            <wp:extent cx="5940425" cy="2526577"/>
            <wp:effectExtent l="0" t="0" r="3175" b="7620"/>
            <wp:docPr id="1" name="Рисунок 1" descr="https://nashdiabet.ru/wp-content/uploads/GI-k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diabet.ru/wp-content/uploads/GI-kr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EC"/>
    <w:rsid w:val="008E6764"/>
    <w:rsid w:val="00D158EC"/>
    <w:rsid w:val="00E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E6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E6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A1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E6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E6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A1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2018-07-30T19:38:00Z</dcterms:created>
  <dcterms:modified xsi:type="dcterms:W3CDTF">2018-07-31T03:09:00Z</dcterms:modified>
</cp:coreProperties>
</file>